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27ACC0" w14:textId="632CD2D9" w:rsidR="00417BF9" w:rsidRDefault="00426F6B">
      <w:pPr>
        <w:rPr>
          <w:color w:val="000000" w:themeColor="text1"/>
        </w:rPr>
      </w:pPr>
      <w:r w:rsidRPr="002D6A9B">
        <w:rPr>
          <w:color w:val="000000" w:themeColor="text1"/>
        </w:rPr>
        <w:t>In this analysis, we used UMAP to create a map of merged cells from four samples</w:t>
      </w:r>
      <w:r w:rsidR="00325A45">
        <w:rPr>
          <w:color w:val="000000" w:themeColor="text1"/>
        </w:rPr>
        <w:t xml:space="preserve"> of mouse brain</w:t>
      </w:r>
      <w:r w:rsidRPr="002D6A9B">
        <w:rPr>
          <w:color w:val="000000" w:themeColor="text1"/>
        </w:rPr>
        <w:t xml:space="preserve">. Tabula </w:t>
      </w:r>
      <w:proofErr w:type="spellStart"/>
      <w:r w:rsidRPr="002D6A9B">
        <w:rPr>
          <w:color w:val="000000" w:themeColor="text1"/>
        </w:rPr>
        <w:t>Muris</w:t>
      </w:r>
      <w:proofErr w:type="spellEnd"/>
      <w:r w:rsidR="007C0C70">
        <w:rPr>
          <w:color w:val="000000" w:themeColor="text1"/>
        </w:rPr>
        <w:t xml:space="preserve"> was used</w:t>
      </w:r>
      <w:r w:rsidRPr="002D6A9B">
        <w:rPr>
          <w:color w:val="000000" w:themeColor="text1"/>
        </w:rPr>
        <w:t xml:space="preserve"> to annotate cell identities. Cells annotated as microglial cells</w:t>
      </w:r>
      <w:r w:rsidR="007C0C70">
        <w:rPr>
          <w:color w:val="000000" w:themeColor="text1"/>
        </w:rPr>
        <w:t xml:space="preserve"> accounted for more than over 50% of total cell populations</w:t>
      </w:r>
      <w:r w:rsidR="004A3A6B">
        <w:rPr>
          <w:color w:val="000000" w:themeColor="text1"/>
        </w:rPr>
        <w:t>.</w:t>
      </w:r>
      <w:r w:rsidR="007C0C70">
        <w:rPr>
          <w:color w:val="000000" w:themeColor="text1"/>
        </w:rPr>
        <w:t xml:space="preserve"> </w:t>
      </w:r>
      <w:r w:rsidR="004A3A6B">
        <w:rPr>
          <w:color w:val="000000" w:themeColor="text1"/>
        </w:rPr>
        <w:t>Microglia</w:t>
      </w:r>
      <w:r w:rsidRPr="002D6A9B">
        <w:rPr>
          <w:color w:val="000000" w:themeColor="text1"/>
        </w:rPr>
        <w:t xml:space="preserve"> </w:t>
      </w:r>
      <w:r w:rsidR="007C0C70">
        <w:rPr>
          <w:color w:val="000000" w:themeColor="text1"/>
        </w:rPr>
        <w:t>were</w:t>
      </w:r>
      <w:r w:rsidRPr="002D6A9B">
        <w:rPr>
          <w:color w:val="000000" w:themeColor="text1"/>
        </w:rPr>
        <w:t xml:space="preserve"> extracted, retransformed for all subsequent analysis. Microglia</w:t>
      </w:r>
      <w:r w:rsidRPr="002D6A9B">
        <w:rPr>
          <w:color w:val="000000" w:themeColor="text1"/>
        </w:rPr>
        <w:t xml:space="preserve"> </w:t>
      </w:r>
      <w:r w:rsidRPr="002D6A9B">
        <w:rPr>
          <w:color w:val="000000" w:themeColor="text1"/>
        </w:rPr>
        <w:t xml:space="preserve">are separated into 12 clusters. </w:t>
      </w:r>
      <w:r w:rsidR="00417BF9" w:rsidRPr="002D6A9B">
        <w:rPr>
          <w:color w:val="000000" w:themeColor="text1"/>
        </w:rPr>
        <w:t>Model-based analysis</w:t>
      </w:r>
      <w:r w:rsidR="004A3A6B">
        <w:rPr>
          <w:color w:val="000000" w:themeColor="text1"/>
        </w:rPr>
        <w:t xml:space="preserve"> </w:t>
      </w:r>
      <w:r w:rsidR="00417BF9" w:rsidRPr="002D6A9B">
        <w:rPr>
          <w:color w:val="000000" w:themeColor="text1"/>
        </w:rPr>
        <w:t xml:space="preserve">of single cell transcriptomics (MAST) was used to compute differentially expressed genes </w:t>
      </w:r>
      <w:proofErr w:type="spellStart"/>
      <w:r w:rsidR="00417BF9" w:rsidRPr="002D6A9B">
        <w:rPr>
          <w:color w:val="000000" w:themeColor="text1"/>
        </w:rPr>
        <w:t>for</w:t>
      </w:r>
      <w:proofErr w:type="spellEnd"/>
      <w:r w:rsidR="00417BF9" w:rsidRPr="002D6A9B">
        <w:rPr>
          <w:color w:val="000000" w:themeColor="text1"/>
        </w:rPr>
        <w:t xml:space="preserve"> each cluster compared to the rest of the clusters.</w:t>
      </w:r>
      <w:r w:rsidR="005000D9">
        <w:rPr>
          <w:color w:val="000000" w:themeColor="text1"/>
        </w:rPr>
        <w:t xml:space="preserve"> Genes with a</w:t>
      </w:r>
      <w:r w:rsidR="008D790D">
        <w:rPr>
          <w:color w:val="000000" w:themeColor="text1"/>
        </w:rPr>
        <w:t>n</w:t>
      </w:r>
      <w:r w:rsidR="005000D9">
        <w:rPr>
          <w:color w:val="000000" w:themeColor="text1"/>
        </w:rPr>
        <w:t xml:space="preserve"> adjusted p value of 0.05 or below and </w:t>
      </w:r>
      <w:r w:rsidR="008D790D">
        <w:rPr>
          <w:color w:val="000000" w:themeColor="text1"/>
        </w:rPr>
        <w:t xml:space="preserve">an </w:t>
      </w:r>
      <w:r w:rsidR="005000D9">
        <w:rPr>
          <w:color w:val="000000" w:themeColor="text1"/>
        </w:rPr>
        <w:t xml:space="preserve">absolute log2 fold change of 0.5 or above is annotated as significant. </w:t>
      </w:r>
    </w:p>
    <w:p w14:paraId="7303A856" w14:textId="77777777" w:rsidR="00077A9D" w:rsidRDefault="00077A9D">
      <w:pPr>
        <w:rPr>
          <w:color w:val="000000" w:themeColor="text1"/>
        </w:rPr>
      </w:pPr>
    </w:p>
    <w:p w14:paraId="5117473A" w14:textId="1F01D215" w:rsidR="00077A9D" w:rsidRDefault="00077A9D">
      <w:pPr>
        <w:rPr>
          <w:color w:val="000000" w:themeColor="text1"/>
        </w:rPr>
      </w:pPr>
      <w:r w:rsidRPr="00077A9D">
        <w:rPr>
          <w:color w:val="000000" w:themeColor="text1"/>
        </w:rPr>
        <w:drawing>
          <wp:inline distT="0" distB="0" distL="0" distR="0" wp14:anchorId="23E5285A" wp14:editId="6860B891">
            <wp:extent cx="5943600" cy="2516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91B5" w14:textId="77777777" w:rsidR="00077A9D" w:rsidRPr="002D6A9B" w:rsidRDefault="00077A9D">
      <w:pPr>
        <w:rPr>
          <w:color w:val="000000" w:themeColor="text1"/>
        </w:rPr>
      </w:pPr>
    </w:p>
    <w:p w14:paraId="0046A0D4" w14:textId="77777777" w:rsidR="00417BF9" w:rsidRPr="002D6A9B" w:rsidRDefault="00417BF9">
      <w:pPr>
        <w:rPr>
          <w:color w:val="000000" w:themeColor="text1"/>
        </w:rPr>
      </w:pPr>
    </w:p>
    <w:p w14:paraId="4CAF8349" w14:textId="14CADF6F" w:rsidR="008D790D" w:rsidRDefault="00426F6B">
      <w:pPr>
        <w:rPr>
          <w:color w:val="000000" w:themeColor="text1"/>
        </w:rPr>
      </w:pPr>
      <w:r w:rsidRPr="002D6A9B">
        <w:rPr>
          <w:color w:val="000000" w:themeColor="text1"/>
        </w:rPr>
        <w:t xml:space="preserve">Chi-squared test was used </w:t>
      </w:r>
      <w:r w:rsidR="0049554F" w:rsidRPr="002D6A9B">
        <w:rPr>
          <w:color w:val="000000" w:themeColor="text1"/>
        </w:rPr>
        <w:t>test for any</w:t>
      </w:r>
      <w:r w:rsidRPr="002D6A9B">
        <w:rPr>
          <w:color w:val="000000" w:themeColor="text1"/>
        </w:rPr>
        <w:t xml:space="preserve"> disproportional distribution of cell numbers in each cluster</w:t>
      </w:r>
      <w:r w:rsidR="008D790D">
        <w:rPr>
          <w:color w:val="000000" w:themeColor="text1"/>
        </w:rPr>
        <w:t xml:space="preserve">. Comparing </w:t>
      </w:r>
      <w:r w:rsidR="008D790D" w:rsidRPr="002D6A9B">
        <w:rPr>
          <w:color w:val="000000" w:themeColor="text1"/>
        </w:rPr>
        <w:t>Arf1_KO</w:t>
      </w:r>
      <w:r w:rsidR="008D790D">
        <w:rPr>
          <w:color w:val="000000" w:themeColor="text1"/>
        </w:rPr>
        <w:t xml:space="preserve"> to WT sample, cluster4, and 5 are enriched while 1, 6, 7, 9, 10, 12 are depleted. </w:t>
      </w:r>
      <w:r w:rsidR="008D790D">
        <w:rPr>
          <w:color w:val="000000" w:themeColor="text1"/>
        </w:rPr>
        <w:t xml:space="preserve">Comparing </w:t>
      </w:r>
      <w:r w:rsidR="008D790D" w:rsidRPr="002D6A9B">
        <w:rPr>
          <w:color w:val="000000" w:themeColor="text1"/>
        </w:rPr>
        <w:t>Arf1_KO</w:t>
      </w:r>
      <w:r w:rsidR="008D790D">
        <w:rPr>
          <w:color w:val="000000" w:themeColor="text1"/>
        </w:rPr>
        <w:t xml:space="preserve"> to</w:t>
      </w:r>
      <w:r w:rsidR="008D790D">
        <w:rPr>
          <w:color w:val="000000" w:themeColor="text1"/>
        </w:rPr>
        <w:t xml:space="preserve"> WT/Arf1_IFNg_KO and </w:t>
      </w:r>
      <w:proofErr w:type="spellStart"/>
      <w:r w:rsidR="008D790D">
        <w:rPr>
          <w:color w:val="000000" w:themeColor="text1"/>
        </w:rPr>
        <w:t>IFNg_KO</w:t>
      </w:r>
      <w:proofErr w:type="spellEnd"/>
      <w:r w:rsidR="008D790D">
        <w:rPr>
          <w:color w:val="000000" w:themeColor="text1"/>
        </w:rPr>
        <w:t>,</w:t>
      </w:r>
      <w:r w:rsidR="004A3A6B">
        <w:rPr>
          <w:color w:val="000000" w:themeColor="text1"/>
        </w:rPr>
        <w:t xml:space="preserve"> only</w:t>
      </w:r>
      <w:r w:rsidR="008D790D">
        <w:rPr>
          <w:color w:val="000000" w:themeColor="text1"/>
        </w:rPr>
        <w:t xml:space="preserve"> cluster5 is enriched while cluster1, </w:t>
      </w:r>
      <w:r w:rsidR="004A3A6B">
        <w:rPr>
          <w:color w:val="000000" w:themeColor="text1"/>
        </w:rPr>
        <w:t>6</w:t>
      </w:r>
      <w:r w:rsidR="008D790D">
        <w:rPr>
          <w:color w:val="000000" w:themeColor="text1"/>
        </w:rPr>
        <w:t xml:space="preserve">, 10 and 12 are depleted. </w:t>
      </w:r>
      <w:r w:rsidR="004A3A6B">
        <w:rPr>
          <w:color w:val="000000" w:themeColor="text1"/>
        </w:rPr>
        <w:t xml:space="preserve">(Table: </w:t>
      </w:r>
      <w:r w:rsidR="004A3A6B" w:rsidRPr="004A3A6B">
        <w:rPr>
          <w:color w:val="000000" w:themeColor="text1"/>
        </w:rPr>
        <w:t>enrichment_depletion_of_cells_in_Arf1_chi-squared.csv</w:t>
      </w:r>
      <w:r w:rsidR="004A3A6B">
        <w:rPr>
          <w:color w:val="000000" w:themeColor="text1"/>
        </w:rPr>
        <w:t>)</w:t>
      </w:r>
    </w:p>
    <w:p w14:paraId="3AFD860C" w14:textId="77777777" w:rsidR="008D790D" w:rsidRDefault="008D790D">
      <w:pPr>
        <w:rPr>
          <w:color w:val="000000" w:themeColor="text1"/>
        </w:rPr>
      </w:pPr>
    </w:p>
    <w:p w14:paraId="1E8185C6" w14:textId="18023062" w:rsidR="008D790D" w:rsidRDefault="00767068" w:rsidP="00767068">
      <w:pPr>
        <w:jc w:val="center"/>
        <w:rPr>
          <w:color w:val="000000" w:themeColor="text1"/>
        </w:rPr>
      </w:pPr>
      <w:r w:rsidRPr="00767068">
        <w:rPr>
          <w:color w:val="000000" w:themeColor="text1"/>
        </w:rPr>
        <w:drawing>
          <wp:inline distT="0" distB="0" distL="0" distR="0" wp14:anchorId="2706E42A" wp14:editId="0909DB9E">
            <wp:extent cx="3046566" cy="1820779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8461" cy="1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90D" w:rsidRPr="008D790D">
        <w:rPr>
          <w:color w:val="000000" w:themeColor="text1"/>
        </w:rPr>
        <w:drawing>
          <wp:inline distT="0" distB="0" distL="0" distR="0" wp14:anchorId="427EF49F" wp14:editId="5E45C2F5">
            <wp:extent cx="2755122" cy="18288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4015" cy="184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8749" w14:textId="1C317F43" w:rsidR="008D790D" w:rsidRDefault="00767068">
      <w:pPr>
        <w:rPr>
          <w:color w:val="000000" w:themeColor="text1"/>
        </w:rPr>
      </w:pPr>
      <w:r w:rsidRPr="00767068">
        <w:rPr>
          <w:color w:val="000000" w:themeColor="text1"/>
        </w:rPr>
        <w:lastRenderedPageBreak/>
        <w:drawing>
          <wp:inline distT="0" distB="0" distL="0" distR="0" wp14:anchorId="718CE61F" wp14:editId="37C12ABD">
            <wp:extent cx="5943600" cy="20904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F433" w14:textId="71072762" w:rsidR="0049554F" w:rsidRPr="002D6A9B" w:rsidRDefault="0049554F">
      <w:pPr>
        <w:rPr>
          <w:color w:val="000000" w:themeColor="text1"/>
        </w:rPr>
      </w:pPr>
    </w:p>
    <w:p w14:paraId="6AB276C4" w14:textId="0BBFF738" w:rsidR="00417BF9" w:rsidRPr="002D6A9B" w:rsidRDefault="00417BF9">
      <w:pPr>
        <w:rPr>
          <w:color w:val="000000" w:themeColor="text1"/>
        </w:rPr>
      </w:pPr>
      <w:r w:rsidRPr="002D6A9B">
        <w:rPr>
          <w:color w:val="000000" w:themeColor="text1"/>
        </w:rPr>
        <w:t xml:space="preserve">Since cluster1,2,3,4 and 5 accounts for </w:t>
      </w:r>
      <w:r w:rsidR="004A3A6B">
        <w:rPr>
          <w:color w:val="000000" w:themeColor="text1"/>
        </w:rPr>
        <w:t>83</w:t>
      </w:r>
      <w:r w:rsidRPr="002D6A9B">
        <w:rPr>
          <w:color w:val="000000" w:themeColor="text1"/>
        </w:rPr>
        <w:t xml:space="preserve">% of the total microglia and there five are clustered together, we examined the proportion of cells in each of these clusters. In particular we found the relative fraction of Arf1_KO cells goes up from cluster1 to cluster5 compared to WT. </w:t>
      </w:r>
    </w:p>
    <w:p w14:paraId="459D03A6" w14:textId="652A9E04" w:rsidR="00F37A47" w:rsidRDefault="00417BF9" w:rsidP="002D6A9B">
      <w:pPr>
        <w:pStyle w:val="Heading1"/>
        <w:shd w:val="clear" w:color="auto" w:fill="FFFFFF"/>
        <w:spacing w:before="240" w:beforeAutospacing="0" w:after="120" w:afterAutospacing="0" w:line="324" w:lineRule="atLeast"/>
        <w:rPr>
          <w:b w:val="0"/>
          <w:bCs w:val="0"/>
          <w:color w:val="000000" w:themeColor="text1"/>
          <w:sz w:val="24"/>
          <w:szCs w:val="24"/>
        </w:rPr>
      </w:pPr>
      <w:r w:rsidRPr="002D6A9B">
        <w:rPr>
          <w:b w:val="0"/>
          <w:bCs w:val="0"/>
          <w:color w:val="000000" w:themeColor="text1"/>
          <w:sz w:val="24"/>
          <w:szCs w:val="24"/>
        </w:rPr>
        <w:t xml:space="preserve">In order to access the gene expression patterns for each cluster and identify clusters that might represent potential neurodegenerative and inflammatory state, we compared the </w:t>
      </w:r>
      <w:r w:rsidRPr="002D6A9B">
        <w:rPr>
          <w:b w:val="0"/>
          <w:bCs w:val="0"/>
          <w:color w:val="000000" w:themeColor="text1"/>
          <w:sz w:val="24"/>
          <w:szCs w:val="24"/>
        </w:rPr>
        <w:t>differentially expressed genes</w:t>
      </w:r>
      <w:r w:rsidRPr="002D6A9B">
        <w:rPr>
          <w:b w:val="0"/>
          <w:bCs w:val="0"/>
          <w:color w:val="000000" w:themeColor="text1"/>
          <w:sz w:val="24"/>
          <w:szCs w:val="24"/>
        </w:rPr>
        <w:t xml:space="preserve"> in each cluster to those previously published in other studies. </w:t>
      </w:r>
      <w:r w:rsidR="00CC39BC" w:rsidRPr="002D6A9B">
        <w:rPr>
          <w:b w:val="0"/>
          <w:bCs w:val="0"/>
          <w:color w:val="000000" w:themeColor="text1"/>
          <w:sz w:val="24"/>
          <w:szCs w:val="24"/>
        </w:rPr>
        <w:t xml:space="preserve">Those are </w:t>
      </w:r>
      <w:r w:rsidR="002D6A9B" w:rsidRPr="002D6A9B">
        <w:rPr>
          <w:b w:val="0"/>
          <w:bCs w:val="0"/>
          <w:color w:val="000000" w:themeColor="text1"/>
          <w:sz w:val="24"/>
          <w:szCs w:val="24"/>
        </w:rPr>
        <w:t>Experimental autoimmune encephalomyelitis (EAE) model for multiple sclerosis</w:t>
      </w:r>
      <w:r w:rsidR="00CC39BC" w:rsidRPr="002D6A9B">
        <w:rPr>
          <w:b w:val="0"/>
          <w:bCs w:val="0"/>
          <w:color w:val="000000" w:themeColor="text1"/>
          <w:sz w:val="24"/>
          <w:szCs w:val="24"/>
        </w:rPr>
        <w:t xml:space="preserve"> (</w:t>
      </w:r>
      <w:proofErr w:type="spellStart"/>
      <w:r w:rsidR="00CC39BC" w:rsidRPr="002D6A9B">
        <w:rPr>
          <w:rFonts w:eastAsiaTheme="minorHAnsi"/>
          <w:b w:val="0"/>
          <w:bCs w:val="0"/>
          <w:color w:val="000000" w:themeColor="text1"/>
          <w:sz w:val="24"/>
          <w:szCs w:val="24"/>
        </w:rPr>
        <w:t>Kraseman</w:t>
      </w:r>
      <w:proofErr w:type="spellEnd"/>
      <w:r w:rsidR="00CC39BC" w:rsidRPr="002D6A9B">
        <w:rPr>
          <w:rFonts w:eastAsiaTheme="minorHAnsi"/>
          <w:b w:val="0"/>
          <w:bCs w:val="0"/>
          <w:color w:val="000000" w:themeColor="text1"/>
          <w:sz w:val="24"/>
          <w:szCs w:val="24"/>
        </w:rPr>
        <w:t xml:space="preserve"> et al., 2017</w:t>
      </w:r>
      <w:r w:rsidR="00CC39BC" w:rsidRPr="002D6A9B">
        <w:rPr>
          <w:b w:val="0"/>
          <w:bCs w:val="0"/>
          <w:color w:val="000000" w:themeColor="text1"/>
          <w:sz w:val="24"/>
          <w:szCs w:val="24"/>
        </w:rPr>
        <w:t xml:space="preserve">), </w:t>
      </w:r>
      <w:r w:rsidR="002D6A9B" w:rsidRPr="002D6A9B">
        <w:rPr>
          <w:b w:val="0"/>
          <w:bCs w:val="0"/>
          <w:color w:val="000000" w:themeColor="text1"/>
          <w:sz w:val="24"/>
          <w:szCs w:val="24"/>
        </w:rPr>
        <w:t>Mutant </w:t>
      </w:r>
      <w:hyperlink r:id="rId10" w:tooltip="Learn more about SOD1 from ScienceDirect's AI-generated Topic Pages" w:history="1">
        <w:r w:rsidR="002D6A9B" w:rsidRPr="002D6A9B">
          <w:rPr>
            <w:rStyle w:val="Hyperlink"/>
            <w:b w:val="0"/>
            <w:bCs w:val="0"/>
            <w:color w:val="000000" w:themeColor="text1"/>
            <w:sz w:val="24"/>
            <w:szCs w:val="24"/>
            <w:u w:val="none"/>
          </w:rPr>
          <w:t>SOD1</w:t>
        </w:r>
      </w:hyperlink>
      <w:r w:rsidR="002D6A9B" w:rsidRPr="002D6A9B">
        <w:rPr>
          <w:b w:val="0"/>
          <w:bCs w:val="0"/>
          <w:color w:val="000000" w:themeColor="text1"/>
          <w:sz w:val="24"/>
          <w:szCs w:val="24"/>
        </w:rPr>
        <w:t> </w:t>
      </w:r>
      <w:hyperlink r:id="rId11" w:tooltip="Learn more about Microglia from ScienceDirect's AI-generated Topic Pages" w:history="1">
        <w:r w:rsidR="002D6A9B" w:rsidRPr="002D6A9B">
          <w:rPr>
            <w:rStyle w:val="Hyperlink"/>
            <w:b w:val="0"/>
            <w:bCs w:val="0"/>
            <w:color w:val="000000" w:themeColor="text1"/>
            <w:sz w:val="24"/>
            <w:szCs w:val="24"/>
            <w:u w:val="none"/>
          </w:rPr>
          <w:t>Microglia</w:t>
        </w:r>
      </w:hyperlink>
      <w:r w:rsidR="002D6A9B" w:rsidRPr="002D6A9B">
        <w:rPr>
          <w:b w:val="0"/>
          <w:bCs w:val="0"/>
          <w:color w:val="000000" w:themeColor="text1"/>
          <w:sz w:val="24"/>
          <w:szCs w:val="24"/>
        </w:rPr>
        <w:t> RNA-Seq Data Relative to Control</w:t>
      </w:r>
      <w:r w:rsidR="002D6A9B" w:rsidRPr="002D6A9B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2D6A9B">
        <w:rPr>
          <w:b w:val="0"/>
          <w:bCs w:val="0"/>
          <w:color w:val="000000" w:themeColor="text1"/>
          <w:sz w:val="24"/>
          <w:szCs w:val="24"/>
        </w:rPr>
        <w:t>for</w:t>
      </w:r>
      <w:r w:rsidR="002D6A9B" w:rsidRPr="002D6A9B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2D6A9B" w:rsidRPr="002D6A9B">
        <w:rPr>
          <w:rFonts w:eastAsiaTheme="minorHAnsi"/>
          <w:b w:val="0"/>
          <w:bCs w:val="0"/>
          <w:color w:val="000000" w:themeColor="text1"/>
          <w:sz w:val="24"/>
          <w:szCs w:val="24"/>
        </w:rPr>
        <w:t>Amyotrophic lateral sclerosis</w:t>
      </w:r>
      <w:r w:rsidR="002D6A9B" w:rsidRPr="002D6A9B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CC39BC" w:rsidRPr="002D6A9B">
        <w:rPr>
          <w:b w:val="0"/>
          <w:bCs w:val="0"/>
          <w:color w:val="000000" w:themeColor="text1"/>
          <w:sz w:val="24"/>
          <w:szCs w:val="24"/>
        </w:rPr>
        <w:t>(</w:t>
      </w:r>
      <w:r w:rsidR="00CC39BC" w:rsidRPr="002D6A9B">
        <w:rPr>
          <w:rFonts w:eastAsiaTheme="minorHAnsi"/>
          <w:b w:val="0"/>
          <w:bCs w:val="0"/>
          <w:color w:val="000000" w:themeColor="text1"/>
          <w:sz w:val="24"/>
          <w:szCs w:val="24"/>
        </w:rPr>
        <w:t>Chiu et al., 2013</w:t>
      </w:r>
      <w:r w:rsidR="00CC39BC" w:rsidRPr="002D6A9B">
        <w:rPr>
          <w:b w:val="0"/>
          <w:bCs w:val="0"/>
          <w:color w:val="000000" w:themeColor="text1"/>
          <w:sz w:val="24"/>
          <w:szCs w:val="24"/>
        </w:rPr>
        <w:t xml:space="preserve">), </w:t>
      </w:r>
      <w:r w:rsidR="002D6A9B" w:rsidRPr="002D6A9B">
        <w:rPr>
          <w:b w:val="0"/>
          <w:bCs w:val="0"/>
          <w:color w:val="000000" w:themeColor="text1"/>
          <w:sz w:val="24"/>
          <w:szCs w:val="24"/>
        </w:rPr>
        <w:t>h</w:t>
      </w:r>
      <w:r w:rsidR="002D6A9B" w:rsidRPr="002D6A9B">
        <w:rPr>
          <w:b w:val="0"/>
          <w:bCs w:val="0"/>
          <w:color w:val="000000" w:themeColor="text1"/>
          <w:sz w:val="24"/>
          <w:szCs w:val="24"/>
        </w:rPr>
        <w:t>omeostatic </w:t>
      </w:r>
      <w:hyperlink r:id="rId12" w:tooltip="Learn more about Microglia from ScienceDirect's AI-generated Topic Pages" w:history="1">
        <w:r w:rsidR="002D6A9B" w:rsidRPr="002D6A9B">
          <w:rPr>
            <w:b w:val="0"/>
            <w:bCs w:val="0"/>
            <w:color w:val="000000" w:themeColor="text1"/>
            <w:sz w:val="24"/>
            <w:szCs w:val="24"/>
          </w:rPr>
          <w:t>Microglia</w:t>
        </w:r>
      </w:hyperlink>
      <w:r w:rsidR="002D6A9B" w:rsidRPr="002D6A9B">
        <w:rPr>
          <w:b w:val="0"/>
          <w:bCs w:val="0"/>
          <w:color w:val="000000" w:themeColor="text1"/>
          <w:sz w:val="24"/>
          <w:szCs w:val="24"/>
        </w:rPr>
        <w:t> to DAM</w:t>
      </w:r>
      <w:r w:rsidR="002D6A9B" w:rsidRPr="002D6A9B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2D6A9B">
        <w:rPr>
          <w:b w:val="0"/>
          <w:bCs w:val="0"/>
          <w:color w:val="000000" w:themeColor="text1"/>
          <w:sz w:val="24"/>
          <w:szCs w:val="24"/>
        </w:rPr>
        <w:t>for</w:t>
      </w:r>
      <w:r w:rsidR="002D6A9B" w:rsidRPr="002D6A9B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2D6A9B" w:rsidRPr="002D6A9B">
        <w:rPr>
          <w:rFonts w:eastAsiaTheme="minorHAnsi"/>
          <w:b w:val="0"/>
          <w:bCs w:val="0"/>
          <w:color w:val="000000" w:themeColor="text1"/>
          <w:sz w:val="24"/>
          <w:szCs w:val="24"/>
        </w:rPr>
        <w:t>Alzheimer’s disease</w:t>
      </w:r>
      <w:r w:rsidR="002D6A9B" w:rsidRPr="002D6A9B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CC39BC" w:rsidRPr="002D6A9B">
        <w:rPr>
          <w:b w:val="0"/>
          <w:bCs w:val="0"/>
          <w:color w:val="000000" w:themeColor="text1"/>
          <w:sz w:val="24"/>
          <w:szCs w:val="24"/>
        </w:rPr>
        <w:t>(</w:t>
      </w:r>
      <w:r w:rsidR="00CC39BC" w:rsidRPr="002D6A9B">
        <w:rPr>
          <w:rFonts w:eastAsiaTheme="minorHAnsi"/>
          <w:b w:val="0"/>
          <w:bCs w:val="0"/>
          <w:color w:val="000000" w:themeColor="text1"/>
          <w:sz w:val="24"/>
          <w:szCs w:val="24"/>
        </w:rPr>
        <w:t>Keren-</w:t>
      </w:r>
      <w:proofErr w:type="spellStart"/>
      <w:r w:rsidR="00CC39BC" w:rsidRPr="002D6A9B">
        <w:rPr>
          <w:rFonts w:eastAsiaTheme="minorHAnsi"/>
          <w:b w:val="0"/>
          <w:bCs w:val="0"/>
          <w:color w:val="000000" w:themeColor="text1"/>
          <w:sz w:val="24"/>
          <w:szCs w:val="24"/>
        </w:rPr>
        <w:t>Shaul</w:t>
      </w:r>
      <w:proofErr w:type="spellEnd"/>
      <w:r w:rsidR="00CC39BC" w:rsidRPr="002D6A9B">
        <w:rPr>
          <w:rFonts w:eastAsiaTheme="minorHAnsi"/>
          <w:b w:val="0"/>
          <w:bCs w:val="0"/>
          <w:color w:val="000000" w:themeColor="text1"/>
          <w:sz w:val="24"/>
          <w:szCs w:val="24"/>
        </w:rPr>
        <w:t xml:space="preserve"> et al. 2017</w:t>
      </w:r>
      <w:r w:rsidR="00CC39BC" w:rsidRPr="002D6A9B">
        <w:rPr>
          <w:b w:val="0"/>
          <w:bCs w:val="0"/>
          <w:color w:val="000000" w:themeColor="text1"/>
          <w:sz w:val="24"/>
          <w:szCs w:val="24"/>
        </w:rPr>
        <w:t>) and</w:t>
      </w:r>
      <w:r w:rsidR="002D6A9B" w:rsidRPr="002D6A9B">
        <w:rPr>
          <w:b w:val="0"/>
          <w:bCs w:val="0"/>
          <w:color w:val="000000" w:themeColor="text1"/>
          <w:sz w:val="24"/>
          <w:szCs w:val="24"/>
        </w:rPr>
        <w:t xml:space="preserve"> 24 month to 4 month mouse </w:t>
      </w:r>
      <w:r w:rsidR="002D6A9B">
        <w:rPr>
          <w:b w:val="0"/>
          <w:bCs w:val="0"/>
          <w:color w:val="000000" w:themeColor="text1"/>
          <w:sz w:val="24"/>
          <w:szCs w:val="24"/>
        </w:rPr>
        <w:t>for</w:t>
      </w:r>
      <w:r w:rsidR="00CC39BC" w:rsidRPr="002D6A9B">
        <w:rPr>
          <w:b w:val="0"/>
          <w:bCs w:val="0"/>
          <w:color w:val="000000" w:themeColor="text1"/>
          <w:sz w:val="24"/>
          <w:szCs w:val="24"/>
        </w:rPr>
        <w:t xml:space="preserve"> aging (</w:t>
      </w:r>
      <w:proofErr w:type="spellStart"/>
      <w:r w:rsidR="00CC39BC" w:rsidRPr="002D6A9B">
        <w:rPr>
          <w:rFonts w:eastAsiaTheme="minorHAnsi"/>
          <w:b w:val="0"/>
          <w:bCs w:val="0"/>
          <w:color w:val="000000" w:themeColor="text1"/>
          <w:sz w:val="24"/>
          <w:szCs w:val="24"/>
        </w:rPr>
        <w:t>Holtman</w:t>
      </w:r>
      <w:proofErr w:type="spellEnd"/>
      <w:r w:rsidR="00CC39BC" w:rsidRPr="002D6A9B">
        <w:rPr>
          <w:rFonts w:eastAsiaTheme="minorHAnsi"/>
          <w:b w:val="0"/>
          <w:bCs w:val="0"/>
          <w:color w:val="000000" w:themeColor="text1"/>
          <w:sz w:val="24"/>
          <w:szCs w:val="24"/>
        </w:rPr>
        <w:t xml:space="preserve"> et al.,</w:t>
      </w:r>
      <w:r w:rsidR="00CC39BC" w:rsidRPr="002D6A9B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CC39BC" w:rsidRPr="00CC39BC">
        <w:rPr>
          <w:rFonts w:eastAsiaTheme="minorEastAsia"/>
          <w:b w:val="0"/>
          <w:bCs w:val="0"/>
          <w:color w:val="000000" w:themeColor="text1"/>
          <w:sz w:val="24"/>
          <w:szCs w:val="24"/>
        </w:rPr>
        <w:t>2015</w:t>
      </w:r>
      <w:r w:rsidR="00CC39BC" w:rsidRPr="002D6A9B">
        <w:rPr>
          <w:b w:val="0"/>
          <w:bCs w:val="0"/>
          <w:color w:val="000000" w:themeColor="text1"/>
          <w:sz w:val="24"/>
          <w:szCs w:val="24"/>
        </w:rPr>
        <w:t xml:space="preserve">). </w:t>
      </w:r>
      <w:r w:rsidR="00F37A47">
        <w:rPr>
          <w:b w:val="0"/>
          <w:bCs w:val="0"/>
          <w:color w:val="000000" w:themeColor="text1"/>
          <w:sz w:val="24"/>
          <w:szCs w:val="24"/>
        </w:rPr>
        <w:t xml:space="preserve">Signed value is calculated for each gene as </w:t>
      </w:r>
      <w:r w:rsidR="00F37A47" w:rsidRPr="00F37A47">
        <w:rPr>
          <w:b w:val="0"/>
          <w:bCs w:val="0"/>
          <w:color w:val="000000" w:themeColor="text1"/>
          <w:sz w:val="24"/>
          <w:szCs w:val="24"/>
        </w:rPr>
        <w:t>sign(</w:t>
      </w:r>
      <w:proofErr w:type="spellStart"/>
      <w:r w:rsidR="00F37A47" w:rsidRPr="00F37A47">
        <w:rPr>
          <w:b w:val="0"/>
          <w:bCs w:val="0"/>
          <w:color w:val="000000" w:themeColor="text1"/>
          <w:sz w:val="24"/>
          <w:szCs w:val="24"/>
        </w:rPr>
        <w:t>logFC</w:t>
      </w:r>
      <w:proofErr w:type="spellEnd"/>
      <w:r w:rsidR="00F37A47" w:rsidRPr="00F37A47">
        <w:rPr>
          <w:b w:val="0"/>
          <w:bCs w:val="0"/>
          <w:color w:val="000000" w:themeColor="text1"/>
          <w:sz w:val="24"/>
          <w:szCs w:val="24"/>
        </w:rPr>
        <w:t>) * log10(</w:t>
      </w:r>
      <w:proofErr w:type="spellStart"/>
      <w:r w:rsidR="00F37A47" w:rsidRPr="00F37A47">
        <w:rPr>
          <w:b w:val="0"/>
          <w:bCs w:val="0"/>
          <w:color w:val="000000" w:themeColor="text1"/>
          <w:sz w:val="24"/>
          <w:szCs w:val="24"/>
        </w:rPr>
        <w:t>Pvalue</w:t>
      </w:r>
      <w:proofErr w:type="spellEnd"/>
      <w:r w:rsidR="00F37A47" w:rsidRPr="00F37A47">
        <w:rPr>
          <w:b w:val="0"/>
          <w:bCs w:val="0"/>
          <w:color w:val="000000" w:themeColor="text1"/>
          <w:sz w:val="24"/>
          <w:szCs w:val="24"/>
        </w:rPr>
        <w:t>) * abs(</w:t>
      </w:r>
      <w:proofErr w:type="spellStart"/>
      <w:r w:rsidR="00F37A47" w:rsidRPr="00F37A47">
        <w:rPr>
          <w:b w:val="0"/>
          <w:bCs w:val="0"/>
          <w:color w:val="000000" w:themeColor="text1"/>
          <w:sz w:val="24"/>
          <w:szCs w:val="24"/>
        </w:rPr>
        <w:t>logFC</w:t>
      </w:r>
      <w:proofErr w:type="spellEnd"/>
      <w:r w:rsidR="00F37A47" w:rsidRPr="00F37A47">
        <w:rPr>
          <w:b w:val="0"/>
          <w:bCs w:val="0"/>
          <w:color w:val="000000" w:themeColor="text1"/>
          <w:sz w:val="24"/>
          <w:szCs w:val="24"/>
        </w:rPr>
        <w:t>)</w:t>
      </w:r>
      <w:r w:rsidR="00F37A47">
        <w:rPr>
          <w:b w:val="0"/>
          <w:bCs w:val="0"/>
          <w:color w:val="000000" w:themeColor="text1"/>
          <w:sz w:val="24"/>
          <w:szCs w:val="24"/>
        </w:rPr>
        <w:t xml:space="preserve">. The signed value for Arf1-WT genes and cluster5-clusterAll are compared to the genes </w:t>
      </w:r>
      <w:r w:rsidR="00243FDE">
        <w:rPr>
          <w:b w:val="0"/>
          <w:bCs w:val="0"/>
          <w:color w:val="000000" w:themeColor="text1"/>
          <w:sz w:val="24"/>
          <w:szCs w:val="24"/>
        </w:rPr>
        <w:t>in the studies mentioned above</w:t>
      </w:r>
      <w:r w:rsidR="00F37A47">
        <w:rPr>
          <w:b w:val="0"/>
          <w:bCs w:val="0"/>
          <w:color w:val="000000" w:themeColor="text1"/>
          <w:sz w:val="24"/>
          <w:szCs w:val="24"/>
        </w:rPr>
        <w:t xml:space="preserve">. </w:t>
      </w:r>
    </w:p>
    <w:p w14:paraId="40E42338" w14:textId="2D3E508F" w:rsidR="008D790D" w:rsidRDefault="008D790D" w:rsidP="008D790D">
      <w:pPr>
        <w:pStyle w:val="Heading1"/>
        <w:shd w:val="clear" w:color="auto" w:fill="FFFFFF"/>
        <w:spacing w:before="240" w:beforeAutospacing="0" w:after="120" w:afterAutospacing="0" w:line="324" w:lineRule="atLeast"/>
        <w:jc w:val="center"/>
        <w:rPr>
          <w:b w:val="0"/>
          <w:bCs w:val="0"/>
          <w:color w:val="000000" w:themeColor="text1"/>
          <w:sz w:val="24"/>
          <w:szCs w:val="24"/>
        </w:rPr>
      </w:pPr>
      <w:r w:rsidRPr="008D790D">
        <w:rPr>
          <w:b w:val="0"/>
          <w:bCs w:val="0"/>
          <w:color w:val="000000" w:themeColor="text1"/>
          <w:sz w:val="24"/>
          <w:szCs w:val="24"/>
        </w:rPr>
        <w:drawing>
          <wp:inline distT="0" distB="0" distL="0" distR="0" wp14:anchorId="5C8EF1FC" wp14:editId="536AA4C7">
            <wp:extent cx="3015916" cy="15007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4464" cy="156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2754" w14:textId="558C6A41" w:rsidR="00325A45" w:rsidRDefault="00325A45" w:rsidP="00325A45">
      <w:pPr>
        <w:pStyle w:val="Heading1"/>
        <w:shd w:val="clear" w:color="auto" w:fill="FFFFFF"/>
        <w:spacing w:before="240" w:beforeAutospacing="0" w:after="120" w:afterAutospacing="0" w:line="324" w:lineRule="atLeast"/>
        <w:rPr>
          <w:b w:val="0"/>
          <w:bCs w:val="0"/>
          <w:color w:val="000000" w:themeColor="text1"/>
          <w:sz w:val="24"/>
          <w:szCs w:val="24"/>
        </w:rPr>
      </w:pPr>
      <w:r>
        <w:rPr>
          <w:b w:val="0"/>
          <w:bCs w:val="0"/>
          <w:color w:val="000000" w:themeColor="text1"/>
          <w:sz w:val="24"/>
          <w:szCs w:val="24"/>
        </w:rPr>
        <w:t xml:space="preserve">Genes that fall on the top right </w:t>
      </w:r>
      <w:r w:rsidRPr="00325A45">
        <w:rPr>
          <w:b w:val="0"/>
          <w:bCs w:val="0"/>
          <w:color w:val="000000" w:themeColor="text1"/>
          <w:sz w:val="24"/>
          <w:szCs w:val="24"/>
        </w:rPr>
        <w:t>quadrant</w:t>
      </w:r>
      <w:r>
        <w:rPr>
          <w:b w:val="0"/>
          <w:bCs w:val="0"/>
          <w:color w:val="000000" w:themeColor="text1"/>
          <w:sz w:val="24"/>
          <w:szCs w:val="24"/>
        </w:rPr>
        <w:t xml:space="preserve"> indicates concordant up-regulation with previously identified disease state genes. </w:t>
      </w:r>
      <w:r>
        <w:rPr>
          <w:b w:val="0"/>
          <w:bCs w:val="0"/>
          <w:color w:val="000000" w:themeColor="text1"/>
          <w:sz w:val="24"/>
          <w:szCs w:val="24"/>
        </w:rPr>
        <w:t xml:space="preserve">Genes that fall on the </w:t>
      </w:r>
      <w:r>
        <w:rPr>
          <w:b w:val="0"/>
          <w:bCs w:val="0"/>
          <w:color w:val="000000" w:themeColor="text1"/>
          <w:sz w:val="24"/>
          <w:szCs w:val="24"/>
        </w:rPr>
        <w:t>bottom left</w:t>
      </w:r>
      <w:r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Pr="00325A45">
        <w:rPr>
          <w:b w:val="0"/>
          <w:bCs w:val="0"/>
          <w:color w:val="000000" w:themeColor="text1"/>
          <w:sz w:val="24"/>
          <w:szCs w:val="24"/>
        </w:rPr>
        <w:t>quadrant</w:t>
      </w:r>
      <w:r>
        <w:rPr>
          <w:b w:val="0"/>
          <w:bCs w:val="0"/>
          <w:color w:val="000000" w:themeColor="text1"/>
          <w:sz w:val="24"/>
          <w:szCs w:val="24"/>
        </w:rPr>
        <w:t xml:space="preserve"> indicates concordant </w:t>
      </w:r>
      <w:proofErr w:type="gramStart"/>
      <w:r>
        <w:rPr>
          <w:b w:val="0"/>
          <w:bCs w:val="0"/>
          <w:color w:val="000000" w:themeColor="text1"/>
          <w:sz w:val="24"/>
          <w:szCs w:val="24"/>
        </w:rPr>
        <w:t>down</w:t>
      </w:r>
      <w:r>
        <w:rPr>
          <w:b w:val="0"/>
          <w:bCs w:val="0"/>
          <w:color w:val="000000" w:themeColor="text1"/>
          <w:sz w:val="24"/>
          <w:szCs w:val="24"/>
        </w:rPr>
        <w:t>-regulation</w:t>
      </w:r>
      <w:proofErr w:type="gramEnd"/>
      <w:r>
        <w:rPr>
          <w:b w:val="0"/>
          <w:bCs w:val="0"/>
          <w:color w:val="000000" w:themeColor="text1"/>
          <w:sz w:val="24"/>
          <w:szCs w:val="24"/>
        </w:rPr>
        <w:t xml:space="preserve"> with previously identified disease state genes. </w:t>
      </w:r>
      <w:r>
        <w:rPr>
          <w:b w:val="0"/>
          <w:bCs w:val="0"/>
          <w:color w:val="000000" w:themeColor="text1"/>
          <w:sz w:val="24"/>
          <w:szCs w:val="24"/>
        </w:rPr>
        <w:t xml:space="preserve">DEGs from both Arf1-WT contrast and Cluster5-ClusterAll contrast showed a high number of genes that showed similar signed value signatures as those disease state genes. </w:t>
      </w:r>
    </w:p>
    <w:p w14:paraId="67C87230" w14:textId="04BC9BE2" w:rsidR="00767068" w:rsidRDefault="00767068" w:rsidP="00325A45">
      <w:pPr>
        <w:pStyle w:val="Heading1"/>
        <w:shd w:val="clear" w:color="auto" w:fill="FFFFFF"/>
        <w:spacing w:before="240" w:beforeAutospacing="0" w:after="120" w:afterAutospacing="0" w:line="324" w:lineRule="atLeast"/>
        <w:rPr>
          <w:b w:val="0"/>
          <w:bCs w:val="0"/>
          <w:color w:val="000000" w:themeColor="text1"/>
          <w:sz w:val="24"/>
          <w:szCs w:val="24"/>
        </w:rPr>
      </w:pPr>
    </w:p>
    <w:p w14:paraId="73AC3E05" w14:textId="25596F71" w:rsidR="00767068" w:rsidRDefault="00767068" w:rsidP="008D790D">
      <w:pPr>
        <w:pStyle w:val="Heading1"/>
        <w:shd w:val="clear" w:color="auto" w:fill="FFFFFF"/>
        <w:spacing w:before="240" w:beforeAutospacing="0" w:after="120" w:afterAutospacing="0" w:line="324" w:lineRule="atLeast"/>
        <w:jc w:val="center"/>
        <w:rPr>
          <w:b w:val="0"/>
          <w:bCs w:val="0"/>
          <w:color w:val="000000" w:themeColor="text1"/>
          <w:sz w:val="24"/>
          <w:szCs w:val="24"/>
        </w:rPr>
      </w:pPr>
      <w:r w:rsidRPr="00767068">
        <w:rPr>
          <w:b w:val="0"/>
          <w:bCs w:val="0"/>
          <w:color w:val="000000" w:themeColor="text1"/>
          <w:sz w:val="24"/>
          <w:szCs w:val="24"/>
        </w:rPr>
        <w:lastRenderedPageBreak/>
        <w:drawing>
          <wp:inline distT="0" distB="0" distL="0" distR="0" wp14:anchorId="00F41857" wp14:editId="741D2441">
            <wp:extent cx="5943600" cy="36252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0C28" w14:textId="5422BC7D" w:rsidR="00767068" w:rsidRDefault="00767068" w:rsidP="008D790D">
      <w:pPr>
        <w:pStyle w:val="Heading1"/>
        <w:shd w:val="clear" w:color="auto" w:fill="FFFFFF"/>
        <w:spacing w:before="240" w:beforeAutospacing="0" w:after="120" w:afterAutospacing="0" w:line="324" w:lineRule="atLeast"/>
        <w:jc w:val="center"/>
        <w:rPr>
          <w:b w:val="0"/>
          <w:bCs w:val="0"/>
          <w:color w:val="000000" w:themeColor="text1"/>
          <w:sz w:val="24"/>
          <w:szCs w:val="24"/>
        </w:rPr>
      </w:pPr>
    </w:p>
    <w:p w14:paraId="53A5EB37" w14:textId="3AC4B4FE" w:rsidR="00767068" w:rsidRPr="00CC39BC" w:rsidRDefault="00767068" w:rsidP="008D790D">
      <w:pPr>
        <w:pStyle w:val="Heading1"/>
        <w:shd w:val="clear" w:color="auto" w:fill="FFFFFF"/>
        <w:spacing w:before="240" w:beforeAutospacing="0" w:after="120" w:afterAutospacing="0" w:line="324" w:lineRule="atLeast"/>
        <w:jc w:val="center"/>
        <w:rPr>
          <w:b w:val="0"/>
          <w:bCs w:val="0"/>
          <w:color w:val="000000" w:themeColor="text1"/>
          <w:sz w:val="24"/>
          <w:szCs w:val="24"/>
        </w:rPr>
      </w:pPr>
      <w:r w:rsidRPr="00767068">
        <w:rPr>
          <w:b w:val="0"/>
          <w:bCs w:val="0"/>
          <w:color w:val="000000" w:themeColor="text1"/>
          <w:sz w:val="24"/>
          <w:szCs w:val="24"/>
        </w:rPr>
        <w:drawing>
          <wp:inline distT="0" distB="0" distL="0" distR="0" wp14:anchorId="27605AC7" wp14:editId="6FAFECCE">
            <wp:extent cx="5943600" cy="35274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D0D3" w14:textId="1EC74A93" w:rsidR="00F37A47" w:rsidRDefault="00F37A47" w:rsidP="00CC39BC">
      <w:pPr>
        <w:rPr>
          <w:rFonts w:eastAsiaTheme="minorHAnsi"/>
          <w:color w:val="000000" w:themeColor="text1"/>
        </w:rPr>
      </w:pPr>
    </w:p>
    <w:p w14:paraId="39BACF48" w14:textId="77777777" w:rsidR="00243FDE" w:rsidRDefault="00243FDE" w:rsidP="00CC39BC">
      <w:pPr>
        <w:rPr>
          <w:rFonts w:eastAsiaTheme="minorHAnsi"/>
          <w:color w:val="000000" w:themeColor="text1"/>
        </w:rPr>
      </w:pPr>
    </w:p>
    <w:p w14:paraId="5174BD81" w14:textId="222122EB" w:rsidR="005000D9" w:rsidRDefault="00243FDE" w:rsidP="00CC39BC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lastRenderedPageBreak/>
        <w:t xml:space="preserve">To systematically test the relative proportion of disease genes in each cluster, </w:t>
      </w:r>
      <w:r w:rsidR="00F37A47">
        <w:rPr>
          <w:rFonts w:eastAsiaTheme="minorHAnsi"/>
          <w:color w:val="000000" w:themeColor="text1"/>
        </w:rPr>
        <w:t xml:space="preserve">we </w:t>
      </w:r>
      <w:r w:rsidR="00BA3218">
        <w:rPr>
          <w:rFonts w:eastAsiaTheme="minorHAnsi"/>
          <w:color w:val="000000" w:themeColor="text1"/>
        </w:rPr>
        <w:t>obtained</w:t>
      </w:r>
      <w:r w:rsidR="00F37A47">
        <w:rPr>
          <w:rFonts w:eastAsiaTheme="minorHAnsi"/>
          <w:color w:val="000000" w:themeColor="text1"/>
        </w:rPr>
        <w:t xml:space="preserve"> commonly differentially expressed</w:t>
      </w:r>
      <w:r>
        <w:rPr>
          <w:rFonts w:eastAsiaTheme="minorHAnsi"/>
          <w:color w:val="000000" w:themeColor="text1"/>
        </w:rPr>
        <w:t xml:space="preserve"> dysregulated</w:t>
      </w:r>
      <w:r w:rsidR="00F37A47">
        <w:rPr>
          <w:rFonts w:eastAsiaTheme="minorHAnsi"/>
          <w:color w:val="000000" w:themeColor="text1"/>
        </w:rPr>
        <w:t xml:space="preserve"> genes in the ALS and AD study. </w:t>
      </w:r>
      <w:r w:rsidR="000862BC">
        <w:rPr>
          <w:rFonts w:eastAsiaTheme="minorHAnsi"/>
          <w:color w:val="000000" w:themeColor="text1"/>
        </w:rPr>
        <w:t>There are 46 up-regulated genes</w:t>
      </w:r>
      <w:r w:rsidR="00BA3218">
        <w:rPr>
          <w:rFonts w:eastAsiaTheme="minorHAnsi"/>
          <w:color w:val="000000" w:themeColor="text1"/>
        </w:rPr>
        <w:t xml:space="preserve"> that</w:t>
      </w:r>
      <w:r w:rsidR="000862BC">
        <w:rPr>
          <w:rFonts w:eastAsiaTheme="minorHAnsi"/>
          <w:color w:val="000000" w:themeColor="text1"/>
        </w:rPr>
        <w:t xml:space="preserve"> inclu</w:t>
      </w:r>
      <w:r w:rsidR="00BA3218">
        <w:rPr>
          <w:rFonts w:eastAsiaTheme="minorHAnsi"/>
          <w:color w:val="000000" w:themeColor="text1"/>
        </w:rPr>
        <w:t>de</w:t>
      </w:r>
      <w:r w:rsidR="000862BC">
        <w:rPr>
          <w:rFonts w:eastAsiaTheme="minorHAnsi"/>
          <w:color w:val="000000" w:themeColor="text1"/>
        </w:rPr>
        <w:t xml:space="preserve"> some well-known disease risk factor such as </w:t>
      </w:r>
      <w:proofErr w:type="spellStart"/>
      <w:r w:rsidR="000862BC">
        <w:rPr>
          <w:rFonts w:eastAsiaTheme="minorHAnsi"/>
          <w:color w:val="000000" w:themeColor="text1"/>
        </w:rPr>
        <w:t>Apoe</w:t>
      </w:r>
      <w:proofErr w:type="spellEnd"/>
      <w:r w:rsidR="000862BC">
        <w:rPr>
          <w:rFonts w:eastAsiaTheme="minorHAnsi"/>
          <w:color w:val="000000" w:themeColor="text1"/>
        </w:rPr>
        <w:t xml:space="preserve">, Spp1, Cd63. </w:t>
      </w:r>
      <w:proofErr w:type="gramStart"/>
      <w:r w:rsidR="005000D9">
        <w:rPr>
          <w:rFonts w:eastAsiaTheme="minorHAnsi"/>
          <w:color w:val="000000" w:themeColor="text1"/>
        </w:rPr>
        <w:t>Similarly</w:t>
      </w:r>
      <w:proofErr w:type="gramEnd"/>
      <w:r w:rsidR="005000D9">
        <w:rPr>
          <w:rFonts w:eastAsiaTheme="minorHAnsi"/>
          <w:color w:val="000000" w:themeColor="text1"/>
        </w:rPr>
        <w:t xml:space="preserve"> t</w:t>
      </w:r>
      <w:r w:rsidR="000862BC">
        <w:rPr>
          <w:rFonts w:eastAsiaTheme="minorHAnsi"/>
          <w:color w:val="000000" w:themeColor="text1"/>
        </w:rPr>
        <w:t xml:space="preserve">here are 22 down-regulated genes that include gene such as P2ry12, Tmem119 etc. </w:t>
      </w:r>
      <w:r w:rsidR="005000D9">
        <w:rPr>
          <w:rFonts w:eastAsiaTheme="minorHAnsi"/>
          <w:color w:val="000000" w:themeColor="text1"/>
        </w:rPr>
        <w:t xml:space="preserve">We asked what fraction </w:t>
      </w:r>
      <w:r w:rsidR="005000D9">
        <w:rPr>
          <w:rFonts w:eastAsiaTheme="minorHAnsi"/>
          <w:color w:val="000000" w:themeColor="text1"/>
        </w:rPr>
        <w:t>of these up-regulated</w:t>
      </w:r>
      <w:r w:rsidR="005000D9">
        <w:rPr>
          <w:rFonts w:eastAsiaTheme="minorHAnsi"/>
          <w:color w:val="000000" w:themeColor="text1"/>
        </w:rPr>
        <w:t xml:space="preserve"> and down-regulated genes are also concordantly </w:t>
      </w:r>
      <w:r w:rsidR="005000D9">
        <w:rPr>
          <w:rFonts w:eastAsiaTheme="minorHAnsi"/>
          <w:color w:val="000000" w:themeColor="text1"/>
        </w:rPr>
        <w:t>up-regulated and down-regulated</w:t>
      </w:r>
      <w:r w:rsidR="005000D9">
        <w:rPr>
          <w:rFonts w:eastAsiaTheme="minorHAnsi"/>
          <w:color w:val="000000" w:themeColor="text1"/>
        </w:rPr>
        <w:t xml:space="preserve"> in the </w:t>
      </w:r>
      <w:r w:rsidR="005000D9">
        <w:rPr>
          <w:rFonts w:eastAsiaTheme="minorHAnsi"/>
          <w:color w:val="000000" w:themeColor="text1"/>
        </w:rPr>
        <w:t>differentially expressed genes</w:t>
      </w:r>
      <w:r w:rsidR="005000D9">
        <w:rPr>
          <w:rFonts w:eastAsiaTheme="minorHAnsi"/>
          <w:color w:val="000000" w:themeColor="text1"/>
        </w:rPr>
        <w:t xml:space="preserve"> for each microglia cluster compared to rest of the clusters. </w:t>
      </w:r>
      <w:r w:rsidR="00DA6DD7">
        <w:rPr>
          <w:rFonts w:eastAsiaTheme="minorHAnsi"/>
          <w:color w:val="000000" w:themeColor="text1"/>
        </w:rPr>
        <w:t>Fisher’s exact test showed</w:t>
      </w:r>
      <w:r w:rsidR="005000D9">
        <w:rPr>
          <w:rFonts w:eastAsiaTheme="minorHAnsi"/>
          <w:color w:val="000000" w:themeColor="text1"/>
        </w:rPr>
        <w:t xml:space="preserve"> a significant over-representation of genes associated with diseases for cluster3, 4, 5, and 7. Among these cluster 4 and 5 have </w:t>
      </w:r>
      <w:r w:rsidR="00DA6DD7">
        <w:rPr>
          <w:rFonts w:eastAsiaTheme="minorHAnsi"/>
          <w:color w:val="000000" w:themeColor="text1"/>
        </w:rPr>
        <w:t xml:space="preserve">very high </w:t>
      </w:r>
      <w:r w:rsidR="005000D9">
        <w:rPr>
          <w:rFonts w:eastAsiaTheme="minorHAnsi"/>
          <w:color w:val="000000" w:themeColor="text1"/>
        </w:rPr>
        <w:t>fraction</w:t>
      </w:r>
      <w:r w:rsidR="00DA6DD7">
        <w:rPr>
          <w:rFonts w:eastAsiaTheme="minorHAnsi"/>
          <w:color w:val="000000" w:themeColor="text1"/>
        </w:rPr>
        <w:t>s</w:t>
      </w:r>
      <w:r w:rsidR="005000D9">
        <w:rPr>
          <w:rFonts w:eastAsiaTheme="minorHAnsi"/>
          <w:color w:val="000000" w:themeColor="text1"/>
        </w:rPr>
        <w:t xml:space="preserve"> at 0.33 and 0.43. </w:t>
      </w:r>
    </w:p>
    <w:p w14:paraId="39598F0B" w14:textId="3BD15C22" w:rsidR="005000D9" w:rsidRDefault="005000D9" w:rsidP="00CC39BC">
      <w:pPr>
        <w:rPr>
          <w:rFonts w:eastAsiaTheme="minorHAnsi"/>
          <w:color w:val="000000" w:themeColor="text1"/>
        </w:rPr>
      </w:pPr>
    </w:p>
    <w:p w14:paraId="69C85499" w14:textId="0ADE71A7" w:rsidR="005000D9" w:rsidRDefault="007C0C70" w:rsidP="008D790D">
      <w:pPr>
        <w:jc w:val="center"/>
        <w:rPr>
          <w:rFonts w:eastAsiaTheme="minorHAnsi"/>
          <w:color w:val="000000" w:themeColor="text1"/>
        </w:rPr>
      </w:pPr>
      <w:r w:rsidRPr="007C0C70">
        <w:rPr>
          <w:rFonts w:eastAsiaTheme="minorHAnsi"/>
          <w:color w:val="000000" w:themeColor="text1"/>
        </w:rPr>
        <w:drawing>
          <wp:inline distT="0" distB="0" distL="0" distR="0" wp14:anchorId="30AE5376" wp14:editId="205DCBDB">
            <wp:extent cx="3360821" cy="2103385"/>
            <wp:effectExtent l="0" t="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5771" cy="214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8B07" w14:textId="28D1DDAF" w:rsidR="00CC39BC" w:rsidRPr="002D6A9B" w:rsidRDefault="008D790D" w:rsidP="00CC39BC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>Next we used heatmap to show</w:t>
      </w:r>
      <w:r w:rsidR="00767068">
        <w:rPr>
          <w:rFonts w:eastAsiaTheme="minorHAnsi"/>
          <w:color w:val="000000" w:themeColor="text1"/>
        </w:rPr>
        <w:t xml:space="preserve"> cluster</w:t>
      </w:r>
      <w:r>
        <w:rPr>
          <w:rFonts w:eastAsiaTheme="minorHAnsi"/>
          <w:color w:val="000000" w:themeColor="text1"/>
        </w:rPr>
        <w:t xml:space="preserve"> average normalized </w:t>
      </w:r>
      <w:r w:rsidR="00767068">
        <w:rPr>
          <w:rFonts w:eastAsiaTheme="minorHAnsi"/>
          <w:color w:val="000000" w:themeColor="text1"/>
        </w:rPr>
        <w:t>expression</w:t>
      </w:r>
      <w:r>
        <w:rPr>
          <w:rFonts w:eastAsiaTheme="minorHAnsi"/>
          <w:color w:val="000000" w:themeColor="text1"/>
        </w:rPr>
        <w:t xml:space="preserve"> for these 46 up-regulated and 22 down-regulated disease genes. </w:t>
      </w:r>
      <w:r w:rsidR="00767068">
        <w:rPr>
          <w:rFonts w:eastAsiaTheme="minorHAnsi"/>
          <w:color w:val="000000" w:themeColor="text1"/>
        </w:rPr>
        <w:t xml:space="preserve">Examining the up-regulated disease genes, Cluster5 form a single group with the many of genes showing a large positive Z score which indicates also up-regulation. </w:t>
      </w:r>
      <w:proofErr w:type="gramStart"/>
      <w:r w:rsidR="00077A9D">
        <w:rPr>
          <w:rFonts w:eastAsiaTheme="minorHAnsi"/>
          <w:color w:val="000000" w:themeColor="text1"/>
        </w:rPr>
        <w:t>Similarly</w:t>
      </w:r>
      <w:proofErr w:type="gramEnd"/>
      <w:r w:rsidR="00077A9D">
        <w:rPr>
          <w:rFonts w:eastAsiaTheme="minorHAnsi"/>
          <w:color w:val="000000" w:themeColor="text1"/>
        </w:rPr>
        <w:t xml:space="preserve"> in down-regulated disease gene</w:t>
      </w:r>
      <w:r w:rsidR="002D1C01">
        <w:rPr>
          <w:rFonts w:eastAsiaTheme="minorHAnsi"/>
          <w:color w:val="000000" w:themeColor="text1"/>
        </w:rPr>
        <w:t xml:space="preserve"> set</w:t>
      </w:r>
      <w:r w:rsidR="00077A9D">
        <w:rPr>
          <w:rFonts w:eastAsiaTheme="minorHAnsi"/>
          <w:color w:val="000000" w:themeColor="text1"/>
        </w:rPr>
        <w:t xml:space="preserve">, cluster5 is grouped with cluster8 appears to have most low Z scores indicating low expression of these genes. </w:t>
      </w:r>
    </w:p>
    <w:p w14:paraId="3AF75992" w14:textId="5015629C" w:rsidR="00CC39BC" w:rsidRPr="002D6A9B" w:rsidRDefault="00CC39BC" w:rsidP="00CC39BC">
      <w:pPr>
        <w:rPr>
          <w:rFonts w:eastAsiaTheme="minorHAnsi"/>
          <w:color w:val="000000" w:themeColor="text1"/>
        </w:rPr>
      </w:pPr>
    </w:p>
    <w:p w14:paraId="5376005C" w14:textId="7104F016" w:rsidR="00417BF9" w:rsidRDefault="00C52AB8" w:rsidP="00C52AB8">
      <w:pPr>
        <w:jc w:val="center"/>
        <w:rPr>
          <w:color w:val="000000" w:themeColor="text1"/>
        </w:rPr>
      </w:pPr>
      <w:r w:rsidRPr="00C52AB8">
        <w:rPr>
          <w:color w:val="000000" w:themeColor="text1"/>
        </w:rPr>
        <w:drawing>
          <wp:inline distT="0" distB="0" distL="0" distR="0" wp14:anchorId="56DA4789" wp14:editId="774CFAA8">
            <wp:extent cx="2775284" cy="209095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9355" cy="21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   </w:t>
      </w:r>
      <w:r w:rsidRPr="00C52AB8">
        <w:rPr>
          <w:color w:val="000000" w:themeColor="text1"/>
        </w:rPr>
        <w:drawing>
          <wp:inline distT="0" distB="0" distL="0" distR="0" wp14:anchorId="7B356CFA" wp14:editId="057C02F3">
            <wp:extent cx="2719137" cy="2028024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508" cy="206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5DEC" w14:textId="149BBDC5" w:rsidR="00767068" w:rsidRDefault="00767068" w:rsidP="00C52AB8">
      <w:pPr>
        <w:jc w:val="center"/>
        <w:rPr>
          <w:color w:val="000000" w:themeColor="text1"/>
        </w:rPr>
      </w:pPr>
    </w:p>
    <w:p w14:paraId="690449A7" w14:textId="4191EC77" w:rsidR="002458D0" w:rsidRDefault="002458D0" w:rsidP="002458D0">
      <w:pPr>
        <w:rPr>
          <w:color w:val="000000" w:themeColor="text1"/>
        </w:rPr>
      </w:pPr>
      <w:r w:rsidRPr="00F40AB9">
        <w:rPr>
          <w:color w:val="000000" w:themeColor="text1"/>
        </w:rPr>
        <w:t>Next we examined the expression of some of well-known microglia markers for all clusters</w:t>
      </w:r>
      <w:r w:rsidR="002D1C01" w:rsidRPr="00F40AB9">
        <w:rPr>
          <w:color w:val="000000" w:themeColor="text1"/>
        </w:rPr>
        <w:t>,</w:t>
      </w:r>
      <w:r w:rsidRPr="00F40AB9">
        <w:rPr>
          <w:color w:val="000000" w:themeColor="text1"/>
        </w:rPr>
        <w:t xml:space="preserve"> </w:t>
      </w:r>
      <w:r w:rsidR="002D1C01" w:rsidRPr="00F40AB9">
        <w:rPr>
          <w:color w:val="000000" w:themeColor="text1"/>
        </w:rPr>
        <w:t>including the </w:t>
      </w:r>
      <w:hyperlink r:id="rId19" w:tooltip="Learn more about Purinergic Receptor from ScienceDirect's AI-generated Topic Pages" w:history="1">
        <w:r w:rsidR="002D1C01" w:rsidRPr="00F40AB9">
          <w:rPr>
            <w:rStyle w:val="Hyperlink"/>
            <w:color w:val="000000" w:themeColor="text1"/>
            <w:u w:val="none"/>
          </w:rPr>
          <w:t>purinergic receptors</w:t>
        </w:r>
      </w:hyperlink>
      <w:r w:rsidR="002D1C01" w:rsidRPr="00F40AB9">
        <w:rPr>
          <w:color w:val="000000" w:themeColor="text1"/>
        </w:rPr>
        <w:t> P2ry12/P2ry13, Cx3cr1, and Tmem119</w:t>
      </w:r>
      <w:r w:rsidR="00F40AB9" w:rsidRPr="00F40AB9">
        <w:rPr>
          <w:color w:val="000000" w:themeColor="text1"/>
        </w:rPr>
        <w:t xml:space="preserve"> (</w:t>
      </w:r>
      <w:proofErr w:type="spellStart"/>
      <w:r w:rsidR="00F40AB9" w:rsidRPr="00F40AB9">
        <w:rPr>
          <w:color w:val="000000" w:themeColor="text1"/>
        </w:rPr>
        <w:t>Butovsky</w:t>
      </w:r>
      <w:proofErr w:type="spellEnd"/>
      <w:r w:rsidR="00F40AB9" w:rsidRPr="00F40AB9">
        <w:rPr>
          <w:color w:val="000000" w:themeColor="text1"/>
        </w:rPr>
        <w:t xml:space="preserve"> et al., 2015, Haynes et al., 2006, Hickman et al., 2013, Merino et al., 2016, </w:t>
      </w:r>
      <w:proofErr w:type="spellStart"/>
      <w:r w:rsidR="00F40AB9" w:rsidRPr="00F40AB9">
        <w:rPr>
          <w:color w:val="000000" w:themeColor="text1"/>
        </w:rPr>
        <w:t>Mildner</w:t>
      </w:r>
      <w:proofErr w:type="spellEnd"/>
      <w:r w:rsidR="00F40AB9" w:rsidRPr="00F40AB9">
        <w:rPr>
          <w:color w:val="000000" w:themeColor="text1"/>
        </w:rPr>
        <w:t xml:space="preserve"> et al., 2017).</w:t>
      </w:r>
      <w:r w:rsidR="00F40AB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Microglia cells that have stable expression of these genes are presumably at a normal and homeostatic state. Each dot on the plot represent the normalized expression level of a single cell. Cluster1 (and </w:t>
      </w:r>
      <w:r>
        <w:rPr>
          <w:color w:val="000000" w:themeColor="text1"/>
        </w:rPr>
        <w:lastRenderedPageBreak/>
        <w:t xml:space="preserve">cluster2) have stable(high) expression of these genes compared to cluster5. </w:t>
      </w:r>
      <w:r w:rsidR="00F40AB9">
        <w:rPr>
          <w:color w:val="000000" w:themeColor="text1"/>
        </w:rPr>
        <w:t>These genes are also predicted as top markers for cluster1.</w:t>
      </w:r>
    </w:p>
    <w:p w14:paraId="15B50379" w14:textId="77777777" w:rsidR="002D1C01" w:rsidRDefault="002D1C01" w:rsidP="002458D0">
      <w:pPr>
        <w:rPr>
          <w:color w:val="000000" w:themeColor="text1"/>
        </w:rPr>
      </w:pPr>
    </w:p>
    <w:p w14:paraId="2D5F12A6" w14:textId="4E5DC709" w:rsidR="002458D0" w:rsidRDefault="002458D0" w:rsidP="002458D0">
      <w:pPr>
        <w:jc w:val="center"/>
        <w:rPr>
          <w:color w:val="000000" w:themeColor="text1"/>
        </w:rPr>
      </w:pPr>
      <w:r w:rsidRPr="002458D0">
        <w:rPr>
          <w:color w:val="000000" w:themeColor="text1"/>
        </w:rPr>
        <w:drawing>
          <wp:inline distT="0" distB="0" distL="0" distR="0" wp14:anchorId="7EA97E2E" wp14:editId="4C7ABCB8">
            <wp:extent cx="4098758" cy="2690467"/>
            <wp:effectExtent l="0" t="0" r="381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9045" cy="2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08C8" w14:textId="4611ACEF" w:rsidR="002458D0" w:rsidRDefault="002458D0" w:rsidP="002458D0">
      <w:pPr>
        <w:rPr>
          <w:color w:val="000000" w:themeColor="text1"/>
        </w:rPr>
      </w:pPr>
    </w:p>
    <w:p w14:paraId="2F242338" w14:textId="1867DF62" w:rsidR="002458D0" w:rsidRDefault="002458D0" w:rsidP="002458D0">
      <w:pPr>
        <w:rPr>
          <w:color w:val="000000" w:themeColor="text1"/>
        </w:rPr>
      </w:pPr>
    </w:p>
    <w:p w14:paraId="63F16361" w14:textId="3E7E6398" w:rsidR="002458D0" w:rsidRDefault="002458D0" w:rsidP="002458D0">
      <w:pPr>
        <w:rPr>
          <w:color w:val="000000" w:themeColor="text1"/>
        </w:rPr>
      </w:pPr>
    </w:p>
    <w:p w14:paraId="11BF9284" w14:textId="7D6492B0" w:rsidR="002458D0" w:rsidRDefault="002458D0" w:rsidP="002458D0">
      <w:pPr>
        <w:rPr>
          <w:color w:val="000000" w:themeColor="text1"/>
        </w:rPr>
      </w:pPr>
    </w:p>
    <w:p w14:paraId="3AD21A82" w14:textId="2B571124" w:rsidR="002458D0" w:rsidRDefault="002458D0" w:rsidP="002458D0">
      <w:pPr>
        <w:rPr>
          <w:color w:val="000000" w:themeColor="text1"/>
        </w:rPr>
      </w:pPr>
      <w:r>
        <w:rPr>
          <w:color w:val="000000" w:themeColor="text1"/>
        </w:rPr>
        <w:t xml:space="preserve">Taken together, </w:t>
      </w:r>
      <w:r w:rsidR="00DD4023">
        <w:rPr>
          <w:color w:val="000000" w:themeColor="text1"/>
        </w:rPr>
        <w:t>Cluster</w:t>
      </w:r>
      <w:r>
        <w:rPr>
          <w:color w:val="000000" w:themeColor="text1"/>
        </w:rPr>
        <w:t xml:space="preserve">1 and 2 represent </w:t>
      </w:r>
      <w:r w:rsidR="00DD4023">
        <w:rPr>
          <w:color w:val="000000" w:themeColor="text1"/>
        </w:rPr>
        <w:t xml:space="preserve">showed the transcriptomic signatures of </w:t>
      </w:r>
      <w:r>
        <w:rPr>
          <w:color w:val="000000" w:themeColor="text1"/>
        </w:rPr>
        <w:t>homeostatic state of microglia cells while cluster4 and cluster5</w:t>
      </w:r>
      <w:r w:rsidR="00DD4023">
        <w:rPr>
          <w:color w:val="000000" w:themeColor="text1"/>
        </w:rPr>
        <w:t xml:space="preserve"> showed </w:t>
      </w:r>
      <w:r w:rsidR="00DD4023">
        <w:rPr>
          <w:color w:val="000000" w:themeColor="text1"/>
        </w:rPr>
        <w:t>transcriptomic</w:t>
      </w:r>
      <w:r w:rsidR="00DD4023">
        <w:rPr>
          <w:color w:val="000000" w:themeColor="text1"/>
        </w:rPr>
        <w:t xml:space="preserve"> patterns of</w:t>
      </w:r>
      <w:r>
        <w:rPr>
          <w:color w:val="000000" w:themeColor="text1"/>
        </w:rPr>
        <w:t xml:space="preserve"> inflammator</w:t>
      </w:r>
      <w:r w:rsidR="00DD4023">
        <w:rPr>
          <w:color w:val="000000" w:themeColor="text1"/>
        </w:rPr>
        <w:t xml:space="preserve">y and neurodegenerative patterns of microglia. </w:t>
      </w:r>
    </w:p>
    <w:p w14:paraId="76329639" w14:textId="06D5224C" w:rsidR="002458D0" w:rsidRDefault="002458D0" w:rsidP="002458D0">
      <w:pPr>
        <w:rPr>
          <w:color w:val="000000" w:themeColor="text1"/>
        </w:rPr>
      </w:pPr>
    </w:p>
    <w:p w14:paraId="3991798D" w14:textId="7845DDB3" w:rsidR="00325A45" w:rsidRDefault="00325A45" w:rsidP="002458D0">
      <w:pPr>
        <w:rPr>
          <w:color w:val="000000" w:themeColor="text1"/>
        </w:rPr>
      </w:pPr>
      <w:r>
        <w:rPr>
          <w:color w:val="000000" w:themeColor="text1"/>
        </w:rPr>
        <w:t xml:space="preserve">Next we </w:t>
      </w:r>
      <w:r w:rsidR="00ED0D97">
        <w:rPr>
          <w:color w:val="000000" w:themeColor="text1"/>
        </w:rPr>
        <w:t xml:space="preserve">computed Cluster5-cluster1 differentially expressed genes and performed the over-representation analysis using the Gene Ontology – Biological Process </w:t>
      </w:r>
      <w:r w:rsidR="00F40AB9">
        <w:rPr>
          <w:color w:val="000000" w:themeColor="text1"/>
        </w:rPr>
        <w:t>gene set</w:t>
      </w:r>
      <w:r w:rsidR="00ED0D97">
        <w:rPr>
          <w:color w:val="000000" w:themeColor="text1"/>
        </w:rPr>
        <w:t xml:space="preserve">. The top enriched processes include response to bacterium, leukocyte migration, chemotaxis, inflammatory response etc. Genes involved in these significant terms are plotted as networks. </w:t>
      </w:r>
      <w:r>
        <w:rPr>
          <w:color w:val="000000" w:themeColor="text1"/>
        </w:rPr>
        <w:t xml:space="preserve"> </w:t>
      </w:r>
      <w:proofErr w:type="gramStart"/>
      <w:r w:rsidR="00ED0D97">
        <w:rPr>
          <w:color w:val="000000" w:themeColor="text1"/>
        </w:rPr>
        <w:t>Similarly</w:t>
      </w:r>
      <w:proofErr w:type="gramEnd"/>
      <w:r w:rsidR="00ED0D97">
        <w:rPr>
          <w:color w:val="000000" w:themeColor="text1"/>
        </w:rPr>
        <w:t xml:space="preserve"> we also performed ORA on the Arf1-WT at the sample level and found top enriched terms include positive regulation of cell migration, chemotaxis, phagocytosis etc. The genes for involved in several of these selected process</w:t>
      </w:r>
      <w:r w:rsidR="00D71AEB">
        <w:rPr>
          <w:color w:val="000000" w:themeColor="text1"/>
        </w:rPr>
        <w:t>es</w:t>
      </w:r>
      <w:r w:rsidR="00ED0D97">
        <w:rPr>
          <w:color w:val="000000" w:themeColor="text1"/>
        </w:rPr>
        <w:t xml:space="preserve"> were also plotted as heatmap to show </w:t>
      </w:r>
      <w:r w:rsidR="00F40AB9">
        <w:rPr>
          <w:color w:val="000000" w:themeColor="text1"/>
        </w:rPr>
        <w:t>cell average</w:t>
      </w:r>
      <w:r w:rsidR="00ED0D97">
        <w:rPr>
          <w:color w:val="000000" w:themeColor="text1"/>
        </w:rPr>
        <w:t xml:space="preserve"> expression across samples. </w:t>
      </w:r>
    </w:p>
    <w:p w14:paraId="32318435" w14:textId="17796F4B" w:rsidR="002458D0" w:rsidRDefault="002458D0" w:rsidP="002458D0">
      <w:pPr>
        <w:rPr>
          <w:color w:val="000000" w:themeColor="text1"/>
        </w:rPr>
      </w:pPr>
    </w:p>
    <w:p w14:paraId="28AF5448" w14:textId="77777777" w:rsidR="00D71AEB" w:rsidRDefault="00D71AEB" w:rsidP="002458D0">
      <w:pPr>
        <w:rPr>
          <w:color w:val="000000" w:themeColor="text1"/>
        </w:rPr>
      </w:pPr>
    </w:p>
    <w:p w14:paraId="05D540A7" w14:textId="3F06C41D" w:rsidR="00767068" w:rsidRDefault="00077A9D" w:rsidP="00497B3A">
      <w:pPr>
        <w:jc w:val="center"/>
        <w:rPr>
          <w:color w:val="000000" w:themeColor="text1"/>
        </w:rPr>
      </w:pPr>
      <w:r w:rsidRPr="00077A9D">
        <w:rPr>
          <w:color w:val="000000" w:themeColor="text1"/>
        </w:rPr>
        <w:lastRenderedPageBreak/>
        <w:drawing>
          <wp:inline distT="0" distB="0" distL="0" distR="0" wp14:anchorId="2C8D12F5" wp14:editId="688C6725">
            <wp:extent cx="4772526" cy="2516794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5612" cy="252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6E05" w14:textId="09254874" w:rsidR="00ED0D97" w:rsidRDefault="00497B3A" w:rsidP="00D71AEB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508A029" wp14:editId="24856711">
            <wp:extent cx="2253548" cy="22535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rf1-WT_ORA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442" cy="227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D97" w:rsidRPr="00ED0D97">
        <w:rPr>
          <w:color w:val="000000" w:themeColor="text1"/>
        </w:rPr>
        <w:drawing>
          <wp:inline distT="0" distB="0" distL="0" distR="0" wp14:anchorId="18B93B49" wp14:editId="7299963B">
            <wp:extent cx="1299411" cy="2268061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8809" cy="231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AEB" w:rsidRPr="00D71AEB">
        <w:rPr>
          <w:color w:val="000000" w:themeColor="text1"/>
        </w:rPr>
        <w:drawing>
          <wp:inline distT="0" distB="0" distL="0" distR="0" wp14:anchorId="72803522" wp14:editId="1572120C">
            <wp:extent cx="1278890" cy="230488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7566" cy="239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36B8" w14:textId="579533F8" w:rsidR="00497B3A" w:rsidRDefault="00497B3A" w:rsidP="00D71AEB">
      <w:pPr>
        <w:jc w:val="center"/>
        <w:rPr>
          <w:color w:val="000000" w:themeColor="text1"/>
        </w:rPr>
      </w:pPr>
    </w:p>
    <w:p w14:paraId="42E0D035" w14:textId="2B4282B7" w:rsidR="00497B3A" w:rsidRDefault="00497B3A" w:rsidP="00497B3A">
      <w:pPr>
        <w:rPr>
          <w:color w:val="000000" w:themeColor="text1"/>
        </w:rPr>
      </w:pPr>
      <w:r>
        <w:rPr>
          <w:color w:val="000000" w:themeColor="text1"/>
        </w:rPr>
        <w:t xml:space="preserve">As dysregulated genes in cluster5-cluster1 is very similar to Arf1-WT (volcano plot) and they have many overlapping over-represented top pathways, such as cell chemotaxis, leukocyte migration, leukocyte differentiation, these indicates cluster 5 is representative of the most dysregulated cells in response to the Arf1 KO. </w:t>
      </w:r>
    </w:p>
    <w:p w14:paraId="3201CE58" w14:textId="77777777" w:rsidR="00497B3A" w:rsidRDefault="00497B3A" w:rsidP="00497B3A">
      <w:pPr>
        <w:rPr>
          <w:color w:val="000000" w:themeColor="text1"/>
        </w:rPr>
      </w:pPr>
    </w:p>
    <w:p w14:paraId="11F78624" w14:textId="319D82CB" w:rsidR="00497B3A" w:rsidRDefault="00497B3A" w:rsidP="00A80B4C">
      <w:pPr>
        <w:jc w:val="center"/>
        <w:rPr>
          <w:color w:val="000000" w:themeColor="text1"/>
        </w:rPr>
      </w:pPr>
      <w:r w:rsidRPr="00497B3A">
        <w:rPr>
          <w:color w:val="000000" w:themeColor="text1"/>
        </w:rPr>
        <w:drawing>
          <wp:inline distT="0" distB="0" distL="0" distR="0" wp14:anchorId="51277E4A" wp14:editId="0AAEFBF3">
            <wp:extent cx="1942252" cy="1947232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7740" cy="19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B4C" w:rsidRPr="00A80B4C">
        <w:rPr>
          <w:color w:val="000000" w:themeColor="text1"/>
        </w:rPr>
        <w:drawing>
          <wp:inline distT="0" distB="0" distL="0" distR="0" wp14:anchorId="4B9A981E" wp14:editId="7CA7C163">
            <wp:extent cx="1981200" cy="1988819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9767" cy="202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7732" w14:textId="6ED6F3E8" w:rsidR="006B18D9" w:rsidRPr="002D6A9B" w:rsidRDefault="006B18D9" w:rsidP="00A80B4C">
      <w:pPr>
        <w:jc w:val="center"/>
        <w:rPr>
          <w:color w:val="000000" w:themeColor="text1"/>
        </w:rPr>
      </w:pPr>
      <w:r w:rsidRPr="006B18D9">
        <w:rPr>
          <w:color w:val="000000" w:themeColor="text1"/>
        </w:rPr>
        <w:lastRenderedPageBreak/>
        <w:drawing>
          <wp:inline distT="0" distB="0" distL="0" distR="0" wp14:anchorId="2C475FA9" wp14:editId="0535E9CD">
            <wp:extent cx="2073494" cy="3058908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5964" cy="31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8D9">
        <w:rPr>
          <w:color w:val="000000" w:themeColor="text1"/>
        </w:rPr>
        <w:drawing>
          <wp:inline distT="0" distB="0" distL="0" distR="0" wp14:anchorId="4757F1C8" wp14:editId="455F698A">
            <wp:extent cx="2041077" cy="311167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1688" cy="31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18D9" w:rsidRPr="002D6A9B" w:rsidSect="00A645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FE0495" w14:textId="77777777" w:rsidR="007A2DD9" w:rsidRDefault="007A2DD9" w:rsidP="00243FDE">
      <w:r>
        <w:separator/>
      </w:r>
    </w:p>
  </w:endnote>
  <w:endnote w:type="continuationSeparator" w:id="0">
    <w:p w14:paraId="04416703" w14:textId="77777777" w:rsidR="007A2DD9" w:rsidRDefault="007A2DD9" w:rsidP="00243F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D999A8" w14:textId="77777777" w:rsidR="007A2DD9" w:rsidRDefault="007A2DD9" w:rsidP="00243FDE">
      <w:r>
        <w:separator/>
      </w:r>
    </w:p>
  </w:footnote>
  <w:footnote w:type="continuationSeparator" w:id="0">
    <w:p w14:paraId="7C57C6B6" w14:textId="77777777" w:rsidR="007A2DD9" w:rsidRDefault="007A2DD9" w:rsidP="00243FD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F6B"/>
    <w:rsid w:val="00077A9D"/>
    <w:rsid w:val="000862BC"/>
    <w:rsid w:val="00243FDE"/>
    <w:rsid w:val="002458D0"/>
    <w:rsid w:val="002D1C01"/>
    <w:rsid w:val="002D6A9B"/>
    <w:rsid w:val="00325A45"/>
    <w:rsid w:val="003A7E7F"/>
    <w:rsid w:val="00417BF9"/>
    <w:rsid w:val="00426F6B"/>
    <w:rsid w:val="0049554F"/>
    <w:rsid w:val="00497B3A"/>
    <w:rsid w:val="004A3A6B"/>
    <w:rsid w:val="005000D9"/>
    <w:rsid w:val="006B18D9"/>
    <w:rsid w:val="00767068"/>
    <w:rsid w:val="007A2DD9"/>
    <w:rsid w:val="007B3921"/>
    <w:rsid w:val="007C0C70"/>
    <w:rsid w:val="008D790D"/>
    <w:rsid w:val="00A645E9"/>
    <w:rsid w:val="00A80B4C"/>
    <w:rsid w:val="00AD1913"/>
    <w:rsid w:val="00BA3218"/>
    <w:rsid w:val="00C52AB8"/>
    <w:rsid w:val="00CC39BC"/>
    <w:rsid w:val="00D71AEB"/>
    <w:rsid w:val="00DA6DD7"/>
    <w:rsid w:val="00DD4023"/>
    <w:rsid w:val="00ED0D97"/>
    <w:rsid w:val="00F37A47"/>
    <w:rsid w:val="00F40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10F2C3"/>
  <w15:chartTrackingRefBased/>
  <w15:docId w15:val="{06130089-E636-B545-89E6-449C0B717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1C0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2D6A9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C39BC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2D6A9B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D6A9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243F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3FD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43F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3FD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38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100308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640815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333071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06033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0182953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505273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936441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584787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124729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95092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749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9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5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hyperlink" Target="https://www.sciencedirect.com/topics/immunology-and-microbiology/microglia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www.sciencedirect.com/topics/immunology-and-microbiology/microglia" TargetMode="External"/><Relationship Id="rId24" Type="http://schemas.openxmlformats.org/officeDocument/2006/relationships/image" Target="media/image15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www.sciencedirect.com/topics/agricultural-and-biological-sciences/sod1" TargetMode="External"/><Relationship Id="rId19" Type="http://schemas.openxmlformats.org/officeDocument/2006/relationships/hyperlink" Target="https://www.sciencedirect.com/topics/biochemistry-genetics-and-molecular-biology/purinergic-receptor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3.emf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7</Pages>
  <Words>958</Words>
  <Characters>5466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Yin, Da (NIH/NCI) [C]</dc:creator>
  <cp:keywords/>
  <dc:description/>
  <cp:lastModifiedBy>Yin, Da (NIH/NCI) [C]</cp:lastModifiedBy>
  <cp:revision>1</cp:revision>
  <dcterms:created xsi:type="dcterms:W3CDTF">2020-03-23T16:40:00Z</dcterms:created>
  <dcterms:modified xsi:type="dcterms:W3CDTF">2020-03-25T15:50:00Z</dcterms:modified>
</cp:coreProperties>
</file>